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713C60" w:rsidRPr="00713C60" w:rsidRDefault="00713C60" w:rsidP="00713C60">
            <w:pPr>
              <w:pStyle w:val="NoSpacing"/>
              <w:rPr>
                <w:rFonts w:asciiTheme="majorHAnsi" w:eastAsiaTheme="majorEastAsia" w:hAnsiTheme="majorHAnsi" w:cstheme="majorBidi"/>
                <w:b/>
                <w:bCs/>
                <w:color w:val="365F91" w:themeColor="accent1" w:themeShade="BF"/>
                <w:sz w:val="32"/>
                <w:szCs w:val="32"/>
              </w:rPr>
            </w:pPr>
            <w:r w:rsidRPr="00713C60">
              <w:rPr>
                <w:rFonts w:asciiTheme="majorHAnsi" w:eastAsiaTheme="majorEastAsia" w:hAnsiTheme="majorHAnsi" w:cstheme="majorBidi"/>
                <w:b/>
                <w:bCs/>
                <w:color w:val="365F91" w:themeColor="accent1" w:themeShade="BF"/>
                <w:sz w:val="32"/>
                <w:szCs w:val="32"/>
              </w:rPr>
              <w:t xml:space="preserve">UNDERSTANDING THE ROLE, DUTIES &amp; FUNCTIONS OF INDEPENDENT DIRECTORS IN SHAPING AN EFFECTIVE BOARD </w:t>
            </w:r>
          </w:p>
          <w:p w:rsidR="003F6F40" w:rsidRPr="003F6F40" w:rsidRDefault="00713C60" w:rsidP="00713C60">
            <w:pPr>
              <w:pStyle w:val="NoSpacing"/>
              <w:rPr>
                <w:rFonts w:asciiTheme="majorHAnsi" w:eastAsiaTheme="majorEastAsia" w:hAnsiTheme="majorHAnsi" w:cstheme="majorBidi"/>
                <w:b/>
                <w:bCs/>
                <w:color w:val="365F91" w:themeColor="accent1" w:themeShade="BF"/>
                <w:sz w:val="48"/>
                <w:szCs w:val="48"/>
              </w:rPr>
            </w:pPr>
            <w:r w:rsidRPr="00713C60">
              <w:rPr>
                <w:rFonts w:asciiTheme="majorHAnsi" w:eastAsiaTheme="majorEastAsia" w:hAnsiTheme="majorHAnsi" w:cstheme="majorBidi"/>
                <w:b/>
                <w:bCs/>
                <w:color w:val="365F91" w:themeColor="accent1" w:themeShade="BF"/>
                <w:sz w:val="32"/>
                <w:szCs w:val="32"/>
              </w:rPr>
              <w:t>– Getting It Right For High Performance</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7A3D96" w:rsidP="00713C60">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w:t>
            </w:r>
            <w:r w:rsidR="00713C60">
              <w:rPr>
                <w:rFonts w:asciiTheme="minorHAnsi" w:eastAsiaTheme="minorEastAsia" w:hAnsiTheme="minorHAnsi" w:cstheme="minorBidi"/>
                <w:sz w:val="28"/>
                <w:szCs w:val="28"/>
              </w:rPr>
              <w:t>4</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Mar / 0</w:t>
            </w:r>
            <w:r w:rsidR="00713C60">
              <w:rPr>
                <w:rFonts w:asciiTheme="minorHAnsi" w:eastAsiaTheme="minorEastAsia" w:hAnsiTheme="minorHAnsi" w:cstheme="minorBidi"/>
                <w:sz w:val="28"/>
                <w:szCs w:val="28"/>
              </w:rPr>
              <w:t>9</w:t>
            </w:r>
            <w:r w:rsidR="00146055">
              <w:rPr>
                <w:rFonts w:asciiTheme="minorHAnsi" w:eastAsiaTheme="minorEastAsia" w:hAnsiTheme="minorHAnsi" w:cstheme="minorBidi"/>
                <w:sz w:val="28"/>
                <w:szCs w:val="28"/>
              </w:rPr>
              <w:t xml:space="preserve"> </w:t>
            </w:r>
            <w:r w:rsidR="00B437BE">
              <w:rPr>
                <w:rFonts w:asciiTheme="minorHAnsi" w:eastAsiaTheme="minorEastAsia" w:hAnsiTheme="minorHAnsi" w:cstheme="minorBidi"/>
                <w:sz w:val="28"/>
                <w:szCs w:val="28"/>
              </w:rPr>
              <w:t>May</w:t>
            </w:r>
            <w:r w:rsidR="00146055">
              <w:rPr>
                <w:rFonts w:asciiTheme="minorHAnsi" w:eastAsiaTheme="minorEastAsia" w:hAnsiTheme="minorHAnsi" w:cstheme="minorBidi"/>
                <w:sz w:val="28"/>
                <w:szCs w:val="28"/>
              </w:rPr>
              <w:t xml:space="preserve"> / </w:t>
            </w:r>
            <w:r w:rsidR="00B437BE">
              <w:rPr>
                <w:rFonts w:asciiTheme="minorHAnsi" w:eastAsiaTheme="minorEastAsia" w:hAnsiTheme="minorHAnsi" w:cstheme="minorBidi"/>
                <w:sz w:val="28"/>
                <w:szCs w:val="28"/>
              </w:rPr>
              <w:t>1</w:t>
            </w:r>
            <w:r w:rsidR="00713C60">
              <w:rPr>
                <w:rFonts w:asciiTheme="minorHAnsi" w:eastAsiaTheme="minorEastAsia" w:hAnsiTheme="minorHAnsi" w:cstheme="minorBidi"/>
                <w:sz w:val="28"/>
                <w:szCs w:val="28"/>
              </w:rPr>
              <w:t>3</w:t>
            </w:r>
            <w:r w:rsidR="00146055">
              <w:rPr>
                <w:rFonts w:asciiTheme="minorHAnsi" w:eastAsiaTheme="minorEastAsia" w:hAnsiTheme="minorHAnsi" w:cstheme="minorBidi"/>
                <w:sz w:val="28"/>
                <w:szCs w:val="28"/>
              </w:rPr>
              <w:t xml:space="preserve">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713C60" w:rsidP="00146055">
            <w:pPr>
              <w:pStyle w:val="NoSpacing"/>
              <w:jc w:val="both"/>
              <w:rPr>
                <w:rFonts w:asciiTheme="minorHAnsi" w:eastAsiaTheme="minorEastAsia" w:hAnsiTheme="minorHAnsi" w:cstheme="minorBidi"/>
              </w:rPr>
            </w:pPr>
            <w:r w:rsidRPr="00713C60">
              <w:rPr>
                <w:rFonts w:asciiTheme="minorHAnsi" w:eastAsiaTheme="minorEastAsia" w:hAnsiTheme="minorHAnsi" w:cstheme="minorBidi"/>
              </w:rPr>
              <w:t>Independent Directors today must truly be committed to achieve the highest standards of business integrity, ethics and professionalism across all of its core business pillars in pursuing the operating goals. The fundamental approach adopted is to ensure that the right executive leadership, strategy and internal controls for risk management are well in place. Nonetheless, the Board must undertake continuous review on its governance model to ensure that its relevance, effectiveness and ability to meet the challenges of achieving a sustainable future and to stay ahead of its competition.</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0A307E">
      <w:r w:rsidRPr="000A307E">
        <w:rPr>
          <w:noProof/>
          <w:lang w:eastAsia="zh-TW"/>
        </w:rPr>
        <w:pict>
          <v:group id="_x0000_s1027" style="position:absolute;margin-left:2919.7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0A307E">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0A307E">
        <w:rPr>
          <w:noProof/>
          <w:lang w:eastAsia="zh-TW"/>
        </w:rPr>
        <w:pict>
          <v:group id="_x0000_s1033" style="position:absolute;margin-left:4232.6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0A307E"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0A307E">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0A307E"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311A19" w:rsidRDefault="00777AC9" w:rsidP="00777AC9">
      <w:pPr>
        <w:ind w:left="-450"/>
        <w:jc w:val="both"/>
        <w:rPr>
          <w:rFonts w:asciiTheme="minorHAnsi" w:hAnsiTheme="minorHAnsi"/>
        </w:rPr>
      </w:pPr>
      <w:r w:rsidRPr="00777AC9">
        <w:rPr>
          <w:rFonts w:asciiTheme="minorHAnsi" w:hAnsiTheme="minorHAnsi"/>
        </w:rPr>
        <w:t>Independent Directors today must truly be committed to achieve the highest standards of business integrity, ethics and professionalism across all of its core business pillars in pursuing the operating goals. The fundamental approach adopted is to ensure that the right executive leadership, strategy and internal controls for risk management are well in place. Nonetheless, the Board must undertake continuous review on its governance model to ensure that its relevance, effectiveness and ability to meet the challenges of achieving a sustainable future and to stay ahead of its competition.</w:t>
      </w:r>
    </w:p>
    <w:p w:rsidR="00777AC9" w:rsidRDefault="00777AC9" w:rsidP="00B9676C">
      <w:pPr>
        <w:ind w:left="-450"/>
        <w:rPr>
          <w:rFonts w:asciiTheme="minorHAnsi" w:hAnsiTheme="minorHAnsi"/>
        </w:rPr>
      </w:pPr>
    </w:p>
    <w:p w:rsidR="003F6F40" w:rsidRPr="00B26841" w:rsidRDefault="000A307E"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777AC9" w:rsidRDefault="00777AC9" w:rsidP="00AE6D93">
      <w:pPr>
        <w:ind w:left="-450"/>
        <w:rPr>
          <w:rFonts w:asciiTheme="minorHAnsi" w:hAnsiTheme="minorHAnsi"/>
        </w:rPr>
      </w:pPr>
      <w:r w:rsidRPr="00777AC9">
        <w:rPr>
          <w:rFonts w:asciiTheme="minorHAnsi" w:hAnsiTheme="minorHAnsi"/>
        </w:rPr>
        <w:t>This hands-on course updates participants to:-</w:t>
      </w:r>
    </w:p>
    <w:p w:rsidR="00777AC9" w:rsidRPr="00777AC9" w:rsidRDefault="00777AC9" w:rsidP="00777AC9">
      <w:pPr>
        <w:pStyle w:val="ListParagraph"/>
        <w:numPr>
          <w:ilvl w:val="0"/>
          <w:numId w:val="8"/>
        </w:numPr>
        <w:spacing w:after="0" w:line="240" w:lineRule="auto"/>
        <w:ind w:left="-141" w:hanging="284"/>
        <w:jc w:val="both"/>
        <w:rPr>
          <w:rFonts w:asciiTheme="minorHAnsi" w:hAnsiTheme="minorHAnsi"/>
        </w:rPr>
      </w:pPr>
      <w:r w:rsidRPr="00777AC9">
        <w:rPr>
          <w:rFonts w:asciiTheme="minorHAnsi" w:hAnsiTheme="minorHAnsi"/>
        </w:rPr>
        <w:t>understand basic Boardroom dynamics,</w:t>
      </w:r>
    </w:p>
    <w:p w:rsidR="00777AC9" w:rsidRPr="00777AC9" w:rsidRDefault="00777AC9" w:rsidP="00777AC9">
      <w:pPr>
        <w:pStyle w:val="ListParagraph"/>
        <w:numPr>
          <w:ilvl w:val="0"/>
          <w:numId w:val="8"/>
        </w:numPr>
        <w:spacing w:after="0" w:line="240" w:lineRule="auto"/>
        <w:ind w:left="-141" w:hanging="284"/>
        <w:jc w:val="both"/>
        <w:rPr>
          <w:rFonts w:asciiTheme="minorHAnsi" w:hAnsiTheme="minorHAnsi"/>
        </w:rPr>
      </w:pPr>
      <w:r w:rsidRPr="00777AC9">
        <w:rPr>
          <w:rFonts w:asciiTheme="minorHAnsi" w:hAnsiTheme="minorHAnsi"/>
        </w:rPr>
        <w:t>gain an in-depth insight on the changes in governance, and</w:t>
      </w:r>
    </w:p>
    <w:p w:rsidR="00777AC9" w:rsidRPr="00777AC9" w:rsidRDefault="00777AC9" w:rsidP="00777AC9">
      <w:pPr>
        <w:pStyle w:val="ListParagraph"/>
        <w:numPr>
          <w:ilvl w:val="0"/>
          <w:numId w:val="8"/>
        </w:numPr>
        <w:spacing w:after="0" w:line="240" w:lineRule="auto"/>
        <w:ind w:left="-141" w:hanging="284"/>
        <w:jc w:val="both"/>
        <w:rPr>
          <w:rFonts w:asciiTheme="minorHAnsi" w:hAnsiTheme="minorHAnsi"/>
        </w:rPr>
      </w:pPr>
      <w:r w:rsidRPr="00777AC9">
        <w:rPr>
          <w:rFonts w:asciiTheme="minorHAnsi" w:hAnsiTheme="minorHAnsi"/>
        </w:rPr>
        <w:t>learn from past corporate lessons and its short-comings</w:t>
      </w:r>
    </w:p>
    <w:p w:rsidR="00777AC9" w:rsidRDefault="00777AC9"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11.0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777AC9" w:rsidRPr="00777AC9" w:rsidRDefault="00777AC9" w:rsidP="00777AC9">
      <w:pPr>
        <w:pStyle w:val="ListParagraph"/>
        <w:numPr>
          <w:ilvl w:val="0"/>
          <w:numId w:val="9"/>
        </w:numPr>
        <w:spacing w:after="0" w:line="240" w:lineRule="auto"/>
        <w:ind w:left="-141" w:hanging="284"/>
        <w:jc w:val="both"/>
        <w:rPr>
          <w:rFonts w:asciiTheme="minorHAnsi" w:hAnsiTheme="minorHAnsi"/>
        </w:rPr>
      </w:pPr>
      <w:r w:rsidRPr="00777AC9">
        <w:rPr>
          <w:rFonts w:asciiTheme="minorHAnsi" w:hAnsiTheme="minorHAnsi"/>
        </w:rPr>
        <w:t>Understand The Key Challenges Of Independent Directors</w:t>
      </w:r>
    </w:p>
    <w:p w:rsidR="00777AC9" w:rsidRPr="00777AC9" w:rsidRDefault="00777AC9" w:rsidP="00777AC9">
      <w:pPr>
        <w:pStyle w:val="ListParagraph"/>
        <w:numPr>
          <w:ilvl w:val="0"/>
          <w:numId w:val="9"/>
        </w:numPr>
        <w:spacing w:after="0" w:line="240" w:lineRule="auto"/>
        <w:ind w:left="-141" w:hanging="284"/>
        <w:jc w:val="both"/>
        <w:rPr>
          <w:rFonts w:asciiTheme="minorHAnsi" w:hAnsiTheme="minorHAnsi"/>
        </w:rPr>
      </w:pPr>
      <w:r w:rsidRPr="00777AC9">
        <w:rPr>
          <w:rFonts w:asciiTheme="minorHAnsi" w:hAnsiTheme="minorHAnsi"/>
        </w:rPr>
        <w:t>Role In Strengthening The Financial Reporting Chain</w:t>
      </w:r>
    </w:p>
    <w:p w:rsidR="00777AC9" w:rsidRPr="00777AC9" w:rsidRDefault="00777AC9" w:rsidP="00777AC9">
      <w:pPr>
        <w:pStyle w:val="ListParagraph"/>
        <w:numPr>
          <w:ilvl w:val="0"/>
          <w:numId w:val="9"/>
        </w:numPr>
        <w:spacing w:after="0" w:line="240" w:lineRule="auto"/>
        <w:ind w:left="-141" w:hanging="284"/>
        <w:jc w:val="both"/>
        <w:rPr>
          <w:rFonts w:asciiTheme="minorHAnsi" w:hAnsiTheme="minorHAnsi"/>
        </w:rPr>
      </w:pPr>
      <w:r w:rsidRPr="00777AC9">
        <w:rPr>
          <w:rFonts w:asciiTheme="minorHAnsi" w:hAnsiTheme="minorHAnsi"/>
        </w:rPr>
        <w:t>Oversight Duties From Merit Based To Disclosure Based Regime</w:t>
      </w:r>
    </w:p>
    <w:p w:rsidR="00311A19" w:rsidRPr="00777AC9" w:rsidRDefault="00777AC9" w:rsidP="00777AC9">
      <w:pPr>
        <w:pStyle w:val="ListParagraph"/>
        <w:numPr>
          <w:ilvl w:val="0"/>
          <w:numId w:val="9"/>
        </w:numPr>
        <w:spacing w:after="0" w:line="240" w:lineRule="auto"/>
        <w:ind w:left="-141" w:hanging="284"/>
        <w:jc w:val="both"/>
        <w:rPr>
          <w:rFonts w:asciiTheme="minorHAnsi" w:hAnsiTheme="minorHAnsi"/>
        </w:rPr>
      </w:pPr>
      <w:r w:rsidRPr="00777AC9">
        <w:rPr>
          <w:rFonts w:asciiTheme="minorHAnsi" w:hAnsiTheme="minorHAnsi"/>
        </w:rPr>
        <w:t>Independent Directors As A Catalyst For Effective Boardroom Dynamics</w:t>
      </w:r>
    </w:p>
    <w:p w:rsidR="00777AC9" w:rsidRDefault="00777AC9" w:rsidP="00777AC9">
      <w:pPr>
        <w:ind w:left="-426"/>
        <w:rPr>
          <w:rFonts w:asciiTheme="minorHAnsi" w:hAnsiTheme="minorHAnsi"/>
        </w:rPr>
      </w:pPr>
    </w:p>
    <w:p w:rsidR="00374C5A" w:rsidRDefault="000A307E"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311A19" w:rsidP="00374C5A">
                  <w:pPr>
                    <w:rPr>
                      <w:rFonts w:asciiTheme="minorHAnsi" w:hAnsiTheme="minorHAnsi"/>
                    </w:rPr>
                  </w:pPr>
                  <w:r>
                    <w:rPr>
                      <w:rFonts w:asciiTheme="minorHAnsi" w:hAnsiTheme="minorHAnsi"/>
                    </w:rPr>
                    <w:t>WHO SHOULD ATTEND</w:t>
                  </w:r>
                </w:p>
              </w:txbxContent>
            </v:textbox>
          </v:roundrect>
        </w:pict>
      </w:r>
    </w:p>
    <w:p w:rsidR="00374C5A" w:rsidRDefault="00374C5A" w:rsidP="00374C5A">
      <w:pPr>
        <w:jc w:val="both"/>
        <w:rPr>
          <w:rFonts w:asciiTheme="minorHAnsi" w:hAnsiTheme="minorHAnsi"/>
        </w:rPr>
      </w:pPr>
    </w:p>
    <w:p w:rsidR="00374C5A" w:rsidRDefault="00374C5A" w:rsidP="00374C5A">
      <w:pPr>
        <w:jc w:val="both"/>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0A307E"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0A307E">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7757BC" w:rsidP="00713C60">
            <w:pPr>
              <w:ind w:right="308"/>
              <w:jc w:val="both"/>
              <w:rPr>
                <w:rFonts w:asciiTheme="minorHAnsi" w:hAnsiTheme="minorHAnsi" w:cs="Segoe UI Semibold"/>
                <w:sz w:val="20"/>
              </w:rPr>
            </w:pPr>
            <w:r>
              <w:rPr>
                <w:rFonts w:asciiTheme="minorHAnsi" w:hAnsiTheme="minorHAnsi" w:cs="Segoe UI Semibold"/>
                <w:sz w:val="20"/>
              </w:rPr>
              <w:t>1</w:t>
            </w:r>
            <w:r w:rsidR="00713C60">
              <w:rPr>
                <w:rFonts w:asciiTheme="minorHAnsi" w:hAnsiTheme="minorHAnsi" w:cs="Segoe UI Semibold"/>
                <w:sz w:val="20"/>
              </w:rPr>
              <w:t>4</w:t>
            </w:r>
            <w:r>
              <w:rPr>
                <w:rFonts w:asciiTheme="minorHAnsi" w:hAnsiTheme="minorHAnsi" w:cs="Segoe UI Semibold"/>
                <w:sz w:val="20"/>
              </w:rPr>
              <w:t xml:space="preserve"> Mar/0</w:t>
            </w:r>
            <w:r w:rsidR="00713C60">
              <w:rPr>
                <w:rFonts w:asciiTheme="minorHAnsi" w:hAnsiTheme="minorHAnsi" w:cs="Segoe UI Semibold"/>
                <w:sz w:val="20"/>
              </w:rPr>
              <w:t>9</w:t>
            </w:r>
            <w:r>
              <w:rPr>
                <w:rFonts w:asciiTheme="minorHAnsi" w:hAnsiTheme="minorHAnsi" w:cs="Segoe UI Semibold"/>
                <w:sz w:val="20"/>
              </w:rPr>
              <w:t xml:space="preserve"> </w:t>
            </w:r>
            <w:r w:rsidR="00F74B29">
              <w:rPr>
                <w:rFonts w:asciiTheme="minorHAnsi" w:hAnsiTheme="minorHAnsi" w:cs="Segoe UI Semibold"/>
                <w:sz w:val="20"/>
              </w:rPr>
              <w:t>May</w:t>
            </w:r>
            <w:r>
              <w:rPr>
                <w:rFonts w:asciiTheme="minorHAnsi" w:hAnsiTheme="minorHAnsi" w:cs="Segoe UI Semibold"/>
                <w:sz w:val="20"/>
              </w:rPr>
              <w:t>/</w:t>
            </w:r>
            <w:r w:rsidR="00F74B29">
              <w:rPr>
                <w:rFonts w:asciiTheme="minorHAnsi" w:hAnsiTheme="minorHAnsi" w:cs="Segoe UI Semibold"/>
                <w:sz w:val="20"/>
              </w:rPr>
              <w:t>1</w:t>
            </w:r>
            <w:r w:rsidR="00713C60">
              <w:rPr>
                <w:rFonts w:asciiTheme="minorHAnsi" w:hAnsiTheme="minorHAnsi" w:cs="Segoe UI Semibold"/>
                <w:sz w:val="20"/>
              </w:rPr>
              <w:t>3</w:t>
            </w:r>
            <w:r>
              <w:rPr>
                <w:rFonts w:asciiTheme="minorHAnsi" w:hAnsiTheme="minorHAnsi" w:cs="Segoe UI Semibold"/>
                <w:sz w:val="20"/>
              </w:rPr>
              <w:t xml:space="preserve">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0A307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777AC9" w:rsidRDefault="00777AC9">
      <w:pPr>
        <w:rPr>
          <w:rFonts w:asciiTheme="minorHAnsi" w:hAnsiTheme="minorHAnsi"/>
        </w:rPr>
      </w:pPr>
    </w:p>
    <w:p w:rsidR="00777AC9" w:rsidRPr="00B26841" w:rsidRDefault="00777AC9">
      <w:pPr>
        <w:rPr>
          <w:rFonts w:asciiTheme="minorHAnsi" w:hAnsiTheme="minorHAnsi"/>
        </w:rPr>
        <w:sectPr w:rsidR="00777AC9"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777AC9" w:rsidRDefault="00777AC9" w:rsidP="00777AC9">
      <w:pPr>
        <w:ind w:left="-851"/>
        <w:rPr>
          <w:rFonts w:asciiTheme="minorHAnsi" w:hAnsiTheme="minorHAnsi"/>
        </w:rPr>
      </w:pPr>
    </w:p>
    <w:p w:rsidR="00374C5A" w:rsidRDefault="000A307E"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9619AC" w:rsidRDefault="009619A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713C60" w:rsidRPr="00713C60" w:rsidRDefault="00713C60" w:rsidP="00713C60">
      <w:pPr>
        <w:jc w:val="center"/>
        <w:rPr>
          <w:rFonts w:asciiTheme="minorHAnsi" w:eastAsiaTheme="majorEastAsia" w:hAnsiTheme="minorHAnsi" w:cstheme="majorBidi"/>
          <w:b/>
          <w:bCs/>
          <w:color w:val="365F91" w:themeColor="accent1" w:themeShade="BF"/>
          <w:sz w:val="28"/>
          <w:szCs w:val="28"/>
        </w:rPr>
      </w:pPr>
      <w:r w:rsidRPr="00713C60">
        <w:rPr>
          <w:rFonts w:asciiTheme="minorHAnsi" w:eastAsiaTheme="majorEastAsia" w:hAnsiTheme="minorHAnsi" w:cstheme="majorBidi"/>
          <w:b/>
          <w:bCs/>
          <w:color w:val="365F91" w:themeColor="accent1" w:themeShade="BF"/>
          <w:sz w:val="28"/>
          <w:szCs w:val="28"/>
        </w:rPr>
        <w:t xml:space="preserve">UNDERSTANDING THE ROLE, DUTIES &amp; FUNCTIONS OF INDEPENDENT DIRECTORS IN SHAPING AN EFFECTIVE BOARD </w:t>
      </w:r>
    </w:p>
    <w:p w:rsidR="007757BC" w:rsidRPr="007757BC" w:rsidRDefault="00713C60" w:rsidP="00713C60">
      <w:pPr>
        <w:jc w:val="center"/>
        <w:rPr>
          <w:rFonts w:asciiTheme="minorHAnsi" w:eastAsiaTheme="majorEastAsia" w:hAnsiTheme="minorHAnsi" w:cstheme="majorBidi"/>
          <w:b/>
          <w:bCs/>
          <w:color w:val="365F91" w:themeColor="accent1" w:themeShade="BF"/>
          <w:sz w:val="28"/>
          <w:szCs w:val="28"/>
        </w:rPr>
      </w:pPr>
      <w:r w:rsidRPr="00713C60">
        <w:rPr>
          <w:rFonts w:asciiTheme="minorHAnsi" w:eastAsiaTheme="majorEastAsia" w:hAnsiTheme="minorHAnsi" w:cstheme="majorBidi"/>
          <w:b/>
          <w:bCs/>
          <w:color w:val="365F91" w:themeColor="accent1" w:themeShade="BF"/>
          <w:sz w:val="28"/>
          <w:szCs w:val="28"/>
        </w:rPr>
        <w:t xml:space="preserve">– Getting It Right </w:t>
      </w:r>
      <w:proofErr w:type="gramStart"/>
      <w:r w:rsidRPr="00713C60">
        <w:rPr>
          <w:rFonts w:asciiTheme="minorHAnsi" w:eastAsiaTheme="majorEastAsia" w:hAnsiTheme="minorHAnsi" w:cstheme="majorBidi"/>
          <w:b/>
          <w:bCs/>
          <w:color w:val="365F91" w:themeColor="accent1" w:themeShade="BF"/>
          <w:sz w:val="28"/>
          <w:szCs w:val="28"/>
        </w:rPr>
        <w:t>For</w:t>
      </w:r>
      <w:proofErr w:type="gramEnd"/>
      <w:r w:rsidRPr="00713C60">
        <w:rPr>
          <w:rFonts w:asciiTheme="minorHAnsi" w:eastAsiaTheme="majorEastAsia" w:hAnsiTheme="minorHAnsi" w:cstheme="majorBidi"/>
          <w:b/>
          <w:bCs/>
          <w:color w:val="365F91" w:themeColor="accent1" w:themeShade="BF"/>
          <w:sz w:val="28"/>
          <w:szCs w:val="28"/>
        </w:rPr>
        <w:t xml:space="preserve"> High Performance</w:t>
      </w:r>
      <w:r w:rsidR="007757BC">
        <w:rPr>
          <w:rFonts w:asciiTheme="minorHAnsi" w:eastAsiaTheme="majorEastAsia" w:hAnsiTheme="minorHAnsi" w:cstheme="majorBidi"/>
          <w:b/>
          <w:bCs/>
          <w:color w:val="365F91" w:themeColor="accent1" w:themeShade="BF"/>
          <w:sz w:val="28"/>
          <w:szCs w:val="28"/>
        </w:rPr>
        <w:br/>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0A307E">
      <w:pPr>
        <w:rPr>
          <w:rFonts w:asciiTheme="minorHAnsi" w:hAnsiTheme="minorHAnsi"/>
          <w:sz w:val="24"/>
          <w:szCs w:val="24"/>
        </w:rPr>
      </w:pPr>
      <w:r w:rsidRPr="000A307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0A307E"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354FC1" w:rsidP="00777AC9">
            <w:pPr>
              <w:rPr>
                <w:rFonts w:asciiTheme="minorHAnsi" w:hAnsiTheme="minorHAnsi"/>
                <w:sz w:val="24"/>
                <w:szCs w:val="24"/>
                <w:lang w:val="en-US"/>
              </w:rPr>
            </w:pPr>
            <w:r>
              <w:rPr>
                <w:rFonts w:asciiTheme="minorHAnsi" w:hAnsiTheme="minorHAnsi"/>
                <w:sz w:val="24"/>
                <w:szCs w:val="24"/>
                <w:lang w:val="en-US"/>
              </w:rPr>
              <w:t>1</w:t>
            </w:r>
            <w:r w:rsidR="00777AC9">
              <w:rPr>
                <w:rFonts w:asciiTheme="minorHAnsi" w:hAnsiTheme="minorHAnsi"/>
                <w:sz w:val="24"/>
                <w:szCs w:val="24"/>
                <w:lang w:val="en-US"/>
              </w:rPr>
              <w:t>4</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0A307E"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354FC1" w:rsidP="00777AC9">
            <w:pPr>
              <w:rPr>
                <w:rFonts w:asciiTheme="minorHAnsi" w:hAnsiTheme="minorHAnsi"/>
                <w:sz w:val="24"/>
                <w:szCs w:val="24"/>
                <w:lang w:val="en-US"/>
              </w:rPr>
            </w:pPr>
            <w:r>
              <w:rPr>
                <w:rFonts w:asciiTheme="minorHAnsi" w:hAnsiTheme="minorHAnsi"/>
                <w:sz w:val="24"/>
                <w:szCs w:val="24"/>
                <w:lang w:val="en-US"/>
              </w:rPr>
              <w:t>0</w:t>
            </w:r>
            <w:r w:rsidR="00777AC9">
              <w:rPr>
                <w:rFonts w:asciiTheme="minorHAnsi" w:hAnsiTheme="minorHAnsi"/>
                <w:sz w:val="24"/>
                <w:szCs w:val="24"/>
                <w:lang w:val="en-US"/>
              </w:rPr>
              <w:t>9</w:t>
            </w:r>
            <w:r w:rsidR="007757BC">
              <w:rPr>
                <w:rFonts w:asciiTheme="minorHAnsi" w:hAnsiTheme="minorHAnsi"/>
                <w:sz w:val="24"/>
                <w:szCs w:val="24"/>
                <w:lang w:val="en-US"/>
              </w:rPr>
              <w:t xml:space="preserve"> </w:t>
            </w:r>
            <w:r w:rsidR="00B437BE">
              <w:rPr>
                <w:rFonts w:asciiTheme="minorHAnsi" w:hAnsiTheme="minorHAnsi"/>
                <w:sz w:val="24"/>
                <w:szCs w:val="24"/>
                <w:lang w:val="en-US"/>
              </w:rPr>
              <w:t>May</w:t>
            </w:r>
          </w:p>
        </w:tc>
        <w:tc>
          <w:tcPr>
            <w:tcW w:w="450" w:type="dxa"/>
          </w:tcPr>
          <w:p w:rsidR="00E76169" w:rsidRPr="00E76169" w:rsidRDefault="000A307E"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B437BE" w:rsidP="00777AC9">
            <w:pPr>
              <w:rPr>
                <w:rFonts w:asciiTheme="minorHAnsi" w:hAnsiTheme="minorHAnsi"/>
                <w:sz w:val="24"/>
                <w:szCs w:val="24"/>
                <w:lang w:val="en-US"/>
              </w:rPr>
            </w:pPr>
            <w:r>
              <w:rPr>
                <w:rFonts w:asciiTheme="minorHAnsi" w:hAnsiTheme="minorHAnsi"/>
                <w:sz w:val="24"/>
                <w:szCs w:val="24"/>
                <w:lang w:val="en-US"/>
              </w:rPr>
              <w:t>1</w:t>
            </w:r>
            <w:r w:rsidR="00777AC9">
              <w:rPr>
                <w:rFonts w:asciiTheme="minorHAnsi" w:hAnsiTheme="minorHAnsi"/>
                <w:sz w:val="24"/>
                <w:szCs w:val="24"/>
                <w:lang w:val="en-US"/>
              </w:rPr>
              <w:t>3</w:t>
            </w:r>
            <w:r w:rsidR="007757BC">
              <w:rPr>
                <w:rFonts w:asciiTheme="minorHAnsi" w:hAnsiTheme="minorHAnsi"/>
                <w:sz w:val="24"/>
                <w:szCs w:val="24"/>
                <w:lang w:val="en-US"/>
              </w:rPr>
              <w:t xml:space="preserve"> Jun 2016</w:t>
            </w:r>
          </w:p>
        </w:tc>
      </w:tr>
    </w:tbl>
    <w:p w:rsidR="0027004C" w:rsidRDefault="0027004C" w:rsidP="002D40CE">
      <w:pPr>
        <w:pStyle w:val="Heading2"/>
        <w:jc w:val="left"/>
        <w:rPr>
          <w:sz w:val="16"/>
          <w:szCs w:val="16"/>
        </w:rPr>
      </w:pPr>
    </w:p>
    <w:p w:rsidR="004E6547" w:rsidRDefault="000A307E" w:rsidP="00E76169">
      <w:pPr>
        <w:rPr>
          <w:rFonts w:asciiTheme="minorHAnsi" w:hAnsiTheme="minorHAnsi"/>
          <w:sz w:val="24"/>
          <w:szCs w:val="24"/>
        </w:rPr>
      </w:pPr>
      <w:r w:rsidRPr="000A307E">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0A307E" w:rsidP="00E76169">
      <w:pPr>
        <w:jc w:val="center"/>
        <w:rPr>
          <w:rFonts w:asciiTheme="minorHAnsi" w:hAnsiTheme="minorHAnsi"/>
          <w:sz w:val="24"/>
          <w:szCs w:val="24"/>
        </w:rPr>
      </w:pPr>
      <w:r w:rsidRPr="000A307E">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0A307E"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64C" w:rsidRDefault="0093264C">
      <w:r>
        <w:separator/>
      </w:r>
    </w:p>
  </w:endnote>
  <w:endnote w:type="continuationSeparator" w:id="0">
    <w:p w:rsidR="0093264C" w:rsidRDefault="009326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64C" w:rsidRDefault="0093264C">
      <w:r>
        <w:separator/>
      </w:r>
    </w:p>
  </w:footnote>
  <w:footnote w:type="continuationSeparator" w:id="0">
    <w:p w:rsidR="0093264C" w:rsidRDefault="00932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0A30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0A307E" w:rsidP="00C24690">
    <w:pPr>
      <w:pStyle w:val="Heading5"/>
      <w:ind w:left="-810" w:hanging="90"/>
      <w:rPr>
        <w:rFonts w:ascii="Century Gothic" w:hAnsi="Century Gothic"/>
        <w:i w:val="0"/>
        <w:iCs/>
        <w:sz w:val="24"/>
        <w:szCs w:val="24"/>
      </w:rPr>
    </w:pPr>
    <w:r w:rsidRPr="000A307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0A30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504"/>
    <w:multiLevelType w:val="hybridMultilevel"/>
    <w:tmpl w:val="67A8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B1D4A"/>
    <w:multiLevelType w:val="hybridMultilevel"/>
    <w:tmpl w:val="B3BE061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75E71"/>
    <w:multiLevelType w:val="hybridMultilevel"/>
    <w:tmpl w:val="AE405B1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12C47C6"/>
    <w:multiLevelType w:val="hybridMultilevel"/>
    <w:tmpl w:val="65D4EFD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5"/>
  </w:num>
  <w:num w:numId="2">
    <w:abstractNumId w:val="2"/>
  </w:num>
  <w:num w:numId="3">
    <w:abstractNumId w:val="8"/>
  </w:num>
  <w:num w:numId="4">
    <w:abstractNumId w:val="6"/>
  </w:num>
  <w:num w:numId="5">
    <w:abstractNumId w:val="7"/>
  </w:num>
  <w:num w:numId="6">
    <w:abstractNumId w:val="3"/>
  </w:num>
  <w:num w:numId="7">
    <w:abstractNumId w:val="0"/>
  </w:num>
  <w:num w:numId="8">
    <w:abstractNumId w:val="1"/>
  </w:num>
  <w:num w:numId="9">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8194">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A307E"/>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11A19"/>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4129"/>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3C60"/>
    <w:rsid w:val="007158D1"/>
    <w:rsid w:val="00722C3F"/>
    <w:rsid w:val="0074177E"/>
    <w:rsid w:val="00742723"/>
    <w:rsid w:val="007466BC"/>
    <w:rsid w:val="007757BC"/>
    <w:rsid w:val="00777AC9"/>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264C"/>
    <w:rsid w:val="0093318C"/>
    <w:rsid w:val="00941FC5"/>
    <w:rsid w:val="00942F12"/>
    <w:rsid w:val="009449AE"/>
    <w:rsid w:val="00945885"/>
    <w:rsid w:val="00950305"/>
    <w:rsid w:val="00960FF4"/>
    <w:rsid w:val="009619AC"/>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380D"/>
    <w:rsid w:val="00B04AC7"/>
    <w:rsid w:val="00B10286"/>
    <w:rsid w:val="00B1346F"/>
    <w:rsid w:val="00B1435F"/>
    <w:rsid w:val="00B14653"/>
    <w:rsid w:val="00B162FD"/>
    <w:rsid w:val="00B16A82"/>
    <w:rsid w:val="00B2339C"/>
    <w:rsid w:val="00B266B7"/>
    <w:rsid w:val="00B26841"/>
    <w:rsid w:val="00B318E2"/>
    <w:rsid w:val="00B3486C"/>
    <w:rsid w:val="00B437BE"/>
    <w:rsid w:val="00B43804"/>
    <w:rsid w:val="00B4435B"/>
    <w:rsid w:val="00B45D60"/>
    <w:rsid w:val="00B53DAF"/>
    <w:rsid w:val="00B62990"/>
    <w:rsid w:val="00B66D36"/>
    <w:rsid w:val="00B82548"/>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E7D10"/>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4B29"/>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
    </o:shapedefaults>
    <o:shapelayout v:ext="edit">
      <o:idmap v:ext="edit" data="1"/>
      <o:rules v:ext="edit">
        <o:r id="V:Rule4" type="connector" idref="#_x0000_s1028"/>
        <o:r id="V:Rule5" type="connector" idref="#_x0000_s1034"/>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E4324-2CE6-42A1-8AFF-742E71F0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4448</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4</cp:revision>
  <cp:lastPrinted>2015-06-30T15:28:00Z</cp:lastPrinted>
  <dcterms:created xsi:type="dcterms:W3CDTF">2016-01-31T19:29:00Z</dcterms:created>
  <dcterms:modified xsi:type="dcterms:W3CDTF">2016-01-31T19:34:00Z</dcterms:modified>
  <cp:category>Corporate Governance Management and Best Practices</cp:category>
</cp:coreProperties>
</file>